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212F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第3章 物质在水溶液中的行为</w:t>
      </w:r>
    </w:p>
    <w:p w14:paraId="1B1EAE2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沉淀溶解平衡</w:t>
      </w:r>
    </w:p>
    <w:p w14:paraId="030BE3E4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 xml:space="preserve">课时2  </w:t>
      </w:r>
      <w:r>
        <w:rPr>
          <w:rFonts w:ascii="Times New Roman" w:hAnsi="Times New Roman" w:eastAsia="宋体" w:cs="Times New Roman"/>
          <w:b/>
          <w:bCs/>
          <w:sz w:val="22"/>
        </w:rPr>
        <w:t>K</w:t>
      </w:r>
      <w:r>
        <w:rPr>
          <w:rFonts w:ascii="Times New Roman" w:hAnsi="Times New Roman" w:eastAsia="宋体" w:cs="Times New Roman"/>
          <w:b/>
          <w:bCs/>
          <w:sz w:val="22"/>
          <w:vertAlign w:val="subscript"/>
        </w:rPr>
        <w:t>sp</w:t>
      </w:r>
      <w:r>
        <w:rPr>
          <w:rFonts w:ascii="Times New Roman" w:hAnsi="Times New Roman" w:eastAsia="宋体" w:cs="Times New Roman"/>
          <w:b/>
          <w:bCs/>
          <w:sz w:val="22"/>
        </w:rPr>
        <w:t>相关计算及图像分析</w:t>
      </w:r>
    </w:p>
    <w:p w14:paraId="7A324D82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6D4707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</w:t>
      </w:r>
      <w:r>
        <w:rPr>
          <w:rFonts w:ascii="Times New Roman" w:hAnsi="Times New Roman" w:eastAsia="宋体" w:cs="Times New Roman"/>
          <w:b/>
          <w:bCs/>
          <w:sz w:val="22"/>
        </w:rPr>
        <w:t>溶度积常数</w:t>
      </w:r>
    </w:p>
    <w:p w14:paraId="4EEB2F90">
      <w:pPr>
        <w:snapToGrid w:val="0"/>
        <w:spacing w:line="360" w:lineRule="auto"/>
        <w:ind w:firstLine="420" w:firstLineChars="200"/>
        <w:rPr>
          <w:rFonts w:ascii="Times New Roman" w:hAnsi="Times New Roman" w:eastAsia="宋体" w:cs="宋体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1.</w:t>
      </w:r>
      <w:r>
        <w:rPr>
          <w:rFonts w:ascii="Times New Roman" w:hAnsi="Times New Roman" w:eastAsia="宋体" w:cs="Courier New"/>
          <w:szCs w:val="21"/>
        </w:rPr>
        <w:t xml:space="preserve"> 溶度积常数</w:t>
      </w:r>
    </w:p>
    <w:p w14:paraId="2F8C9948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①</w:t>
      </w:r>
      <w:r>
        <w:rPr>
          <w:rFonts w:ascii="Times New Roman" w:hAnsi="Times New Roman" w:eastAsia="宋体" w:cs="Times New Roman"/>
          <w:szCs w:val="24"/>
        </w:rPr>
        <w:t>概念</w:t>
      </w:r>
    </w:p>
    <w:p w14:paraId="3FE11D32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在一定条件下，难溶电解质溶于水形成饱和溶液时，溶质的离子与该固态物质之间建立动态平衡，这时可以用平衡常数来描述难溶电解质在水中的沉淀溶解平衡，其平衡常数称为溶度积常数或</w:t>
      </w:r>
      <w:r>
        <w:rPr>
          <w:rFonts w:ascii="Times New Roman" w:hAnsi="Times New Roman" w:eastAsia="宋体" w:cs="Times New Roman"/>
          <w:color w:val="91ABDF"/>
          <w:szCs w:val="24"/>
          <w:u w:val="thick"/>
        </w:rPr>
        <w:t>溶度积</w:t>
      </w:r>
      <w:r>
        <w:rPr>
          <w:rFonts w:ascii="Times New Roman" w:hAnsi="Times New Roman" w:eastAsia="宋体" w:cs="Times New Roman"/>
          <w:szCs w:val="24"/>
        </w:rPr>
        <w:t>，通常用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来表示。</w:t>
      </w:r>
    </w:p>
    <w:p w14:paraId="3A29F04A">
      <w:pPr>
        <w:snapToGrid w:val="0"/>
        <w:spacing w:line="360" w:lineRule="auto"/>
        <w:ind w:firstLine="420" w:firstLineChars="200"/>
        <w:rPr>
          <w:rFonts w:ascii="Times New Roman" w:hAnsi="Times New Roman" w:eastAsia="宋体" w:cs="Courier New"/>
          <w:szCs w:val="21"/>
          <w:vertAlign w:val="superscript"/>
        </w:rPr>
      </w:pPr>
      <w:r>
        <w:rPr>
          <w:rFonts w:hint="eastAsia" w:ascii="Times New Roman" w:hAnsi="Times New Roman" w:eastAsia="宋体" w:cs="宋体"/>
          <w:szCs w:val="24"/>
        </w:rPr>
        <w:t>②</w:t>
      </w:r>
      <w:r>
        <w:rPr>
          <w:rFonts w:ascii="Times New Roman" w:hAnsi="Times New Roman" w:eastAsia="宋体" w:cs="Times New Roman"/>
          <w:szCs w:val="24"/>
        </w:rPr>
        <w:t>表达式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hint="eastAsia" w:ascii="Times New Roman" w:hAnsi="Times New Roman" w:eastAsia="宋体" w:cs="Courier New"/>
          <w:szCs w:val="21"/>
        </w:rPr>
        <w:t>对于反应M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m</w:t>
      </w:r>
      <w:r>
        <w:rPr>
          <w:rFonts w:hint="eastAsia" w:ascii="Times New Roman" w:hAnsi="Times New Roman" w:eastAsia="宋体" w:cs="Courier New"/>
          <w:szCs w:val="21"/>
        </w:rPr>
        <w:t>A</w:t>
      </w:r>
      <w:r>
        <w:rPr>
          <w:rFonts w:hint="eastAsia" w:ascii="Times New Roman" w:hAnsi="Times New Roman" w:eastAsia="宋体" w:cs="Courier New"/>
          <w:szCs w:val="21"/>
          <w:vertAlign w:val="subscript"/>
        </w:rPr>
        <w:t>n</w:t>
      </w:r>
      <w:r>
        <w:rPr>
          <w:rFonts w:hint="eastAsia" w:ascii="Times New Roman" w:hAnsi="Times New Roman" w:eastAsia="宋体" w:cs="Courier New"/>
          <w:szCs w:val="21"/>
        </w:rPr>
        <w:t>(s)</w:t>
      </w:r>
      <w:r>
        <w:rPr>
          <w:rFonts w:ascii="宋体" w:hAnsi="宋体" w:eastAsia="宋体" w:cs="Courier New"/>
          <w:sz w:val="24"/>
          <w:szCs w:val="24"/>
        </w:rPr>
        <w:t xml:space="preserve"> </w:t>
      </w:r>
      <w:r>
        <w:rPr>
          <w:rFonts w:ascii="宋体" w:hAnsi="宋体" w:eastAsia="宋体" w:cs="Courier New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763770610" name="图片 763770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770610" name="图片 76377061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 w:val="24"/>
          <w:szCs w:val="24"/>
        </w:rPr>
        <w:t>mM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Times New Roman"/>
          <w:sz w:val="24"/>
          <w:szCs w:val="24"/>
        </w:rPr>
        <w:t>(aq)+nA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(aq)    </w:t>
      </w:r>
      <w:r>
        <w:rPr>
          <w:rFonts w:hint="eastAsia" w:ascii="Times New Roman" w:hAnsi="Times New Roman" w:eastAsia="宋体" w:cs="Courier New"/>
          <w:szCs w:val="21"/>
        </w:rPr>
        <w:t>Ksp=c(</w:t>
      </w:r>
      <w:r>
        <w:rPr>
          <w:rFonts w:ascii="Times New Roman" w:hAnsi="Times New Roman" w:eastAsia="宋体" w:cs="Times New Roman"/>
          <w:sz w:val="24"/>
          <w:szCs w:val="24"/>
        </w:rPr>
        <w:t>M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n+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m</w:t>
      </w:r>
      <w:r>
        <w:rPr>
          <w:rFonts w:hint="eastAsia" w:ascii="等线" w:hAnsi="等线" w:eastAsia="等线" w:cs="Courier New"/>
          <w:szCs w:val="21"/>
        </w:rPr>
        <w:t>·</w:t>
      </w:r>
      <w:r>
        <w:rPr>
          <w:rFonts w:hint="eastAsia" w:ascii="Times New Roman" w:hAnsi="Times New Roman" w:eastAsia="宋体" w:cs="Courier New"/>
          <w:szCs w:val="21"/>
        </w:rPr>
        <w:t>c(</w:t>
      </w:r>
      <w:r>
        <w:rPr>
          <w:rFonts w:hint="eastAsia" w:ascii="Times New Roman" w:hAnsi="Times New Roman" w:eastAsia="宋体" w:cs="Times New Roman"/>
          <w:sz w:val="24"/>
          <w:szCs w:val="24"/>
        </w:rPr>
        <w:t>A</w:t>
      </w:r>
      <w:r>
        <w:rPr>
          <w:rFonts w:hint="eastAsia" w:ascii="Times New Roman" w:hAnsi="Times New Roman" w:eastAsia="宋体" w:cs="Times New Roman"/>
          <w:sz w:val="24"/>
          <w:szCs w:val="24"/>
          <w:vertAlign w:val="superscript"/>
        </w:rPr>
        <w:t>m-</w:t>
      </w:r>
      <w:r>
        <w:rPr>
          <w:rFonts w:hint="eastAsia" w:ascii="Times New Roman" w:hAnsi="Times New Roman" w:eastAsia="宋体" w:cs="Courier New"/>
          <w:szCs w:val="21"/>
        </w:rPr>
        <w:t>)</w:t>
      </w:r>
      <w:r>
        <w:rPr>
          <w:rFonts w:hint="eastAsia" w:ascii="Times New Roman" w:hAnsi="Times New Roman" w:eastAsia="宋体" w:cs="Courier New"/>
          <w:szCs w:val="21"/>
          <w:vertAlign w:val="superscript"/>
        </w:rPr>
        <w:t>n</w:t>
      </w:r>
    </w:p>
    <w:p w14:paraId="75F41AA6">
      <w:pPr>
        <w:snapToGrid w:val="0"/>
        <w:spacing w:line="360" w:lineRule="auto"/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宋体"/>
          <w:szCs w:val="24"/>
        </w:rPr>
        <w:t>③</w:t>
      </w:r>
      <w:r>
        <w:rPr>
          <w:rFonts w:ascii="Times New Roman" w:hAnsi="Times New Roman" w:eastAsia="宋体" w:cs="Times New Roman"/>
          <w:szCs w:val="24"/>
        </w:rPr>
        <w:t>意义</w:t>
      </w:r>
      <w:r>
        <w:rPr>
          <w:rFonts w:hint="eastAsia" w:ascii="Times New Roman" w:hAnsi="Times New Roman" w:eastAsia="宋体" w:cs="Times New Roman"/>
          <w:szCs w:val="24"/>
        </w:rPr>
        <w:t>：</w:t>
      </w:r>
      <w:r>
        <w:rPr>
          <w:rFonts w:ascii="Times New Roman" w:hAnsi="Times New Roman" w:eastAsia="宋体" w:cs="Times New Roman"/>
          <w:szCs w:val="24"/>
        </w:rPr>
        <w:t>溶度积的大小与溶解度有关，它反映了难溶电解质在水中的</w:t>
      </w:r>
      <w:r>
        <w:rPr>
          <w:rFonts w:ascii="Times New Roman" w:hAnsi="Times New Roman" w:eastAsia="宋体" w:cs="Times New Roman"/>
          <w:color w:val="91ABDF"/>
          <w:szCs w:val="24"/>
          <w:u w:val="thick"/>
        </w:rPr>
        <w:t>溶解能力</w:t>
      </w:r>
      <w:r>
        <w:rPr>
          <w:rFonts w:ascii="Times New Roman" w:hAnsi="Times New Roman" w:eastAsia="宋体" w:cs="Times New Roman"/>
          <w:szCs w:val="24"/>
        </w:rPr>
        <w:t>。</w:t>
      </w:r>
    </w:p>
    <w:p w14:paraId="30AF555B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Times New Roman" w:eastAsia="宋体" w:cs="Times New Roman"/>
          <w:szCs w:val="21"/>
        </w:rPr>
        <w:t>．影响因素：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与难溶电解质的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性质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温度</w:t>
      </w:r>
      <w:r>
        <w:rPr>
          <w:rFonts w:ascii="Times New Roman" w:hAnsi="Times New Roman" w:eastAsia="宋体" w:cs="Times New Roman"/>
          <w:szCs w:val="21"/>
        </w:rPr>
        <w:t>有关，与浓度无关，与沉淀量无关。</w:t>
      </w:r>
    </w:p>
    <w:p w14:paraId="516A520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>．应用</w:t>
      </w:r>
    </w:p>
    <w:p w14:paraId="76DAE6A8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(1)离子积：难溶电解质溶液在任意时刻离子浓度的乘积，用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表示，</w:t>
      </w:r>
    </w:p>
    <w:p w14:paraId="46CFB9BC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S的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Times New Roman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)·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(S</w:t>
      </w:r>
      <w:r>
        <w:rPr>
          <w:rFonts w:ascii="Times New Roman" w:hAnsi="Times New Roman" w:eastAsia="宋体" w:cs="Times New Roman"/>
          <w:szCs w:val="21"/>
          <w:vertAlign w:val="superscript"/>
        </w:rPr>
        <w:t>2－</w:t>
      </w:r>
      <w:r>
        <w:rPr>
          <w:rFonts w:ascii="Times New Roman" w:hAnsi="Times New Roman" w:eastAsia="宋体" w:cs="Times New Roman"/>
          <w:szCs w:val="21"/>
        </w:rPr>
        <w:t>)。</w:t>
      </w:r>
    </w:p>
    <w:p w14:paraId="2A154122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(2)根据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的关系判断溶液状态：</w:t>
      </w:r>
    </w:p>
    <w:p w14:paraId="0C70750B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&gt;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，溶液中有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沉淀</w:t>
      </w:r>
      <w:r>
        <w:rPr>
          <w:rFonts w:ascii="Times New Roman" w:hAnsi="Times New Roman" w:eastAsia="宋体" w:cs="Times New Roman"/>
          <w:szCs w:val="21"/>
        </w:rPr>
        <w:t>析出；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，沉淀与溶解处于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平衡状态</w:t>
      </w:r>
      <w:r>
        <w:rPr>
          <w:rFonts w:ascii="Times New Roman" w:hAnsi="Times New Roman" w:eastAsia="宋体" w:cs="Times New Roman"/>
          <w:szCs w:val="21"/>
        </w:rPr>
        <w:t>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i/>
          <w:szCs w:val="21"/>
        </w:rPr>
        <w:t>Q</w:t>
      </w:r>
      <w:r>
        <w:rPr>
          <w:rFonts w:ascii="Times New Roman" w:hAnsi="Times New Roman" w:eastAsia="宋体" w:cs="Times New Roman"/>
          <w:szCs w:val="21"/>
        </w:rPr>
        <w:t>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，溶液中</w:t>
      </w:r>
      <w:r>
        <w:rPr>
          <w:rFonts w:ascii="Times New Roman" w:hAnsi="Times New Roman" w:eastAsia="宋体" w:cs="Times New Roman"/>
          <w:color w:val="91ABDF"/>
          <w:szCs w:val="21"/>
          <w:u w:val="thick"/>
        </w:rPr>
        <w:t>无沉淀</w:t>
      </w:r>
      <w:r>
        <w:rPr>
          <w:rFonts w:ascii="Times New Roman" w:hAnsi="Times New Roman" w:eastAsia="宋体" w:cs="Times New Roman"/>
          <w:szCs w:val="21"/>
        </w:rPr>
        <w:t>析出。</w:t>
      </w:r>
    </w:p>
    <w:p w14:paraId="5146E99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二、难溶电解质沉淀溶解平衡的影响因素</w:t>
      </w:r>
    </w:p>
    <w:p w14:paraId="287CCB82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．内因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决定因素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：难溶电解质本身的性质。</w:t>
      </w:r>
    </w:p>
    <w:p w14:paraId="5697F8CA">
      <w:pPr>
        <w:tabs>
          <w:tab w:val="left" w:pos="3402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．外因：温度、浓度等条件的影响</w:t>
      </w:r>
      <w:r>
        <w:rPr>
          <w:rFonts w:hint="eastAsia" w:ascii="Times New Roman" w:hAnsi="宋体" w:eastAsia="宋体" w:cs="Times New Roman"/>
          <w:szCs w:val="21"/>
        </w:rPr>
        <w:t>（</w:t>
      </w:r>
      <w:r>
        <w:rPr>
          <w:rFonts w:ascii="Times New Roman" w:hAnsi="宋体" w:eastAsia="宋体" w:cs="Times New Roman"/>
          <w:szCs w:val="21"/>
        </w:rPr>
        <w:t>符合勒夏特列原理</w:t>
      </w:r>
      <w:r>
        <w:rPr>
          <w:rFonts w:hint="eastAsia" w:ascii="Times New Roman" w:hAnsi="宋体" w:eastAsia="宋体" w:cs="Times New Roman"/>
          <w:szCs w:val="21"/>
        </w:rPr>
        <w:t>）</w:t>
      </w:r>
      <w:r>
        <w:rPr>
          <w:rFonts w:ascii="Times New Roman" w:hAnsi="宋体" w:eastAsia="宋体" w:cs="Times New Roman"/>
          <w:szCs w:val="21"/>
        </w:rPr>
        <w:t>。</w:t>
      </w:r>
    </w:p>
    <w:p w14:paraId="1F3050ED">
      <w:pPr>
        <w:tabs>
          <w:tab w:val="left" w:pos="3402"/>
        </w:tabs>
        <w:snapToGrid w:val="0"/>
        <w:spacing w:line="360" w:lineRule="auto"/>
        <w:ind w:left="105" w:hanging="105" w:hangingChars="50"/>
        <w:rPr>
          <w:rFonts w:hint="eastAsia"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对于沉淀溶解平衡（溶液中仍有大量固体）：</w:t>
      </w:r>
      <w:r>
        <w:rPr>
          <w:rFonts w:ascii="Times New Roman" w:hAnsi="Times New Roman" w:eastAsia="宋体" w:cs="Times New Roman"/>
          <w:szCs w:val="21"/>
        </w:rPr>
        <w:t>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(s)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42900" cy="76200"/>
            <wp:effectExtent l="0" t="0" r="0" b="0"/>
            <wp:docPr id="3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Mg</w:t>
      </w:r>
      <w:r>
        <w:rPr>
          <w:rFonts w:ascii="Times New Roman" w:hAnsi="Times New Roman" w:eastAsia="宋体" w:cs="Times New Roman"/>
          <w:szCs w:val="21"/>
          <w:vertAlign w:val="superscript"/>
        </w:rPr>
        <w:t>2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szCs w:val="21"/>
        </w:rPr>
        <w:t>2OH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(aq)</w:t>
      </w:r>
      <w:r>
        <w:rPr>
          <w:rFonts w:ascii="Times New Roman" w:hAnsi="宋体" w:eastAsia="宋体" w:cs="Times New Roman"/>
          <w:szCs w:val="21"/>
        </w:rPr>
        <w:t>，请分析下列条件改变时，对沉淀溶解平衡的影响，填写下表</w:t>
      </w:r>
      <w:r>
        <w:rPr>
          <w:rFonts w:ascii="Times New Roman" w:hAnsi="Times New Roman" w:eastAsia="宋体" w:cs="Times New Roman"/>
          <w:szCs w:val="21"/>
        </w:rPr>
        <w:t>(</w:t>
      </w:r>
      <w:r>
        <w:rPr>
          <w:rFonts w:ascii="Times New Roman" w:hAnsi="宋体" w:eastAsia="宋体" w:cs="Times New Roman"/>
          <w:szCs w:val="21"/>
        </w:rPr>
        <w:t>浓度变化均指平衡后和原平衡比较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：</w:t>
      </w:r>
    </w:p>
    <w:tbl>
      <w:tblPr>
        <w:tblStyle w:val="15"/>
        <w:tblW w:w="7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1930"/>
        <w:gridCol w:w="1397"/>
        <w:gridCol w:w="1418"/>
        <w:gridCol w:w="992"/>
      </w:tblGrid>
      <w:tr w14:paraId="58179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9D4B06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条件改变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7C53DE1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移动方向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87D4D4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(Mg</w:t>
            </w:r>
            <w:r>
              <w:rPr>
                <w:rFonts w:ascii="Times New Roman" w:hAnsi="Times New Roman" w:eastAsia="宋体" w:cs="Times New Roman"/>
                <w:szCs w:val="21"/>
                <w:vertAlign w:val="superscript"/>
              </w:rPr>
              <w:t>2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09E2E0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</w:rPr>
              <w:t>(OH</w:t>
            </w:r>
            <w:r>
              <w:rPr>
                <w:rFonts w:ascii="Times New Roman" w:hAnsi="宋体" w:eastAsia="宋体" w:cs="Times New Roman"/>
                <w:szCs w:val="21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2851758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i/>
                <w:szCs w:val="21"/>
              </w:rPr>
            </w:pPr>
            <w:r>
              <w:rPr>
                <w:rFonts w:ascii="Times New Roman" w:hAnsi="Times New Roman" w:eastAsia="宋体" w:cs="Times New Roman"/>
                <w:i/>
                <w:szCs w:val="21"/>
              </w:rPr>
              <w:t>K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sp</w:t>
            </w:r>
          </w:p>
        </w:tc>
      </w:tr>
      <w:tr w14:paraId="4FFCB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CBC4CE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升温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7EDF534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88B5D7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8E0DA0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992" w:type="dxa"/>
            <w:vAlign w:val="center"/>
          </w:tcPr>
          <w:p w14:paraId="65AD9A1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增大</w:t>
            </w:r>
          </w:p>
        </w:tc>
      </w:tr>
      <w:tr w14:paraId="100DA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D9BB86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MgCl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49FE9BB1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逆向移动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7A79F5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98450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减小</w:t>
            </w:r>
          </w:p>
        </w:tc>
        <w:tc>
          <w:tcPr>
            <w:tcW w:w="992" w:type="dxa"/>
            <w:vAlign w:val="center"/>
          </w:tcPr>
          <w:p w14:paraId="609D5D3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不变</w:t>
            </w:r>
          </w:p>
        </w:tc>
      </w:tr>
      <w:tr w14:paraId="15AB0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7A0443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</w:t>
            </w:r>
            <w:r>
              <w:rPr>
                <w:rFonts w:ascii="Times New Roman" w:hAnsi="Times New Roman" w:eastAsia="宋体" w:cs="Times New Roman"/>
                <w:szCs w:val="21"/>
              </w:rPr>
              <w:t>NaOH(s)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5A666413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逆向移动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51A023F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减小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D50074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992" w:type="dxa"/>
            <w:vAlign w:val="center"/>
          </w:tcPr>
          <w:p w14:paraId="137F4C9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不变</w:t>
            </w:r>
          </w:p>
        </w:tc>
      </w:tr>
      <w:tr w14:paraId="7A0F4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C5AA78B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加盐酸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1CDA766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3FD57BD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增大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1BACF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减小</w:t>
            </w:r>
          </w:p>
        </w:tc>
        <w:tc>
          <w:tcPr>
            <w:tcW w:w="992" w:type="dxa"/>
            <w:vAlign w:val="center"/>
          </w:tcPr>
          <w:p w14:paraId="25C7B8F5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不变</w:t>
            </w:r>
          </w:p>
        </w:tc>
      </w:tr>
      <w:tr w14:paraId="712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68D3952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Cs w:val="21"/>
              </w:rPr>
              <w:t>加少量水</w:t>
            </w:r>
          </w:p>
        </w:tc>
        <w:tc>
          <w:tcPr>
            <w:tcW w:w="1930" w:type="dxa"/>
            <w:shd w:val="clear" w:color="auto" w:fill="auto"/>
            <w:vAlign w:val="center"/>
          </w:tcPr>
          <w:p w14:paraId="62DCDDB9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正向移动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E32E15E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不变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FCA0DA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不变</w:t>
            </w:r>
          </w:p>
        </w:tc>
        <w:tc>
          <w:tcPr>
            <w:tcW w:w="992" w:type="dxa"/>
            <w:vAlign w:val="center"/>
          </w:tcPr>
          <w:p w14:paraId="46B38C88">
            <w:pPr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color w:val="FF0000"/>
                <w:szCs w:val="21"/>
                <w:u w:val="single"/>
              </w:rPr>
            </w:pPr>
            <w:r>
              <w:rPr>
                <w:rFonts w:ascii="Times New Roman" w:hAnsi="宋体" w:eastAsia="宋体" w:cs="Times New Roman"/>
                <w:color w:val="91ABDF"/>
                <w:szCs w:val="21"/>
                <w:u w:val="thick"/>
              </w:rPr>
              <w:t>不变</w:t>
            </w:r>
          </w:p>
        </w:tc>
      </w:tr>
    </w:tbl>
    <w:p w14:paraId="6C7E83B1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4C8F0A9F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ascii="Times New Roman" w:hAnsi="Times New Roman" w:eastAsia="宋体" w:cs="Times New Roman"/>
          <w:szCs w:val="24"/>
        </w:rPr>
        <w:t>可利用溶液混合后的</w:t>
      </w:r>
      <w:r>
        <w:rPr>
          <w:rFonts w:ascii="Times New Roman" w:hAnsi="Times New Roman" w:eastAsia="宋体" w:cs="Times New Roman"/>
          <w:i/>
          <w:szCs w:val="24"/>
        </w:rPr>
        <w:t>Q</w:t>
      </w:r>
      <w:r>
        <w:rPr>
          <w:rFonts w:ascii="Times New Roman" w:hAnsi="Times New Roman" w:eastAsia="宋体" w:cs="Times New Roman"/>
          <w:szCs w:val="24"/>
        </w:rPr>
        <w:t>与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的相对大小来判断溶液混合后是否有沉淀生成。(　</w:t>
      </w:r>
      <w:r>
        <w:rPr>
          <w:rFonts w:ascii="Times New Roman" w:hAnsi="Times New Roman" w:eastAsia="宋体" w:cs="Times New Roman"/>
          <w:color w:val="91ABDF"/>
          <w:szCs w:val="24"/>
        </w:rPr>
        <w:t>√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26975034">
      <w:pPr>
        <w:snapToGrid w:val="0"/>
        <w:spacing w:line="360" w:lineRule="auto"/>
        <w:ind w:left="525" w:hanging="525" w:hangingChars="25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（2）</w:t>
      </w:r>
      <w:r>
        <w:rPr>
          <w:rFonts w:ascii="Times New Roman" w:hAnsi="宋体" w:eastAsia="宋体" w:cs="Times New Roman"/>
          <w:szCs w:val="21"/>
        </w:rPr>
        <w:t>一定温度下，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，在任何含</w:t>
      </w:r>
      <w:r>
        <w:rPr>
          <w:rFonts w:ascii="Times New Roman" w:hAnsi="Times New Roman" w:eastAsia="宋体" w:cs="Times New Roman"/>
          <w:szCs w:val="21"/>
        </w:rPr>
        <w:t>AgCl</w:t>
      </w:r>
      <w:r>
        <w:rPr>
          <w:rFonts w:ascii="Times New Roman" w:hAnsi="宋体" w:eastAsia="宋体" w:cs="Times New Roman"/>
          <w:szCs w:val="21"/>
        </w:rPr>
        <w:t>固体的溶液中，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宋体" w:eastAsia="宋体" w:cs="Times New Roman"/>
          <w:szCs w:val="21"/>
        </w:rPr>
        <w:t>浓度的乘积等于</w:t>
      </w:r>
      <w:r>
        <w:rPr>
          <w:rFonts w:ascii="Times New Roman" w:hAnsi="Times New Roman" w:eastAsia="宋体" w:cs="Times New Roman"/>
          <w:szCs w:val="21"/>
        </w:rPr>
        <w:t>1.8×10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  <w:vertAlign w:val="superscript"/>
        </w:rPr>
        <w:t>10</w:t>
      </w:r>
      <w:r>
        <w:rPr>
          <w:rFonts w:ascii="Times New Roman" w:hAnsi="宋体" w:eastAsia="宋体" w:cs="Times New Roman"/>
          <w:szCs w:val="21"/>
        </w:rPr>
        <w:t>且</w:t>
      </w:r>
      <w:r>
        <w:rPr>
          <w:rFonts w:ascii="Times New Roman" w:hAnsi="Times New Roman" w:eastAsia="宋体" w:cs="Times New Roman"/>
          <w:i/>
          <w:szCs w:val="21"/>
        </w:rPr>
        <w:t xml:space="preserve"> c</w:t>
      </w:r>
      <w:r>
        <w:rPr>
          <w:rFonts w:ascii="Times New Roman" w:hAnsi="Times New Roman" w:eastAsia="宋体" w:cs="Times New Roman"/>
          <w:szCs w:val="21"/>
        </w:rPr>
        <w:t>(Ag</w:t>
      </w:r>
      <w:r>
        <w:rPr>
          <w:rFonts w:ascii="Times New Roman" w:hAnsi="宋体" w:eastAsia="宋体" w:cs="Times New Roman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＝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(Cl</w:t>
      </w:r>
      <w:r>
        <w:rPr>
          <w:rFonts w:ascii="Times New Roman" w:hAnsi="宋体" w:eastAsia="宋体" w:cs="Times New Roman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( 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hint="eastAsia" w:ascii="Times New Roman" w:hAnsi="Times New Roman" w:eastAsia="宋体" w:cs="Times New Roman"/>
          <w:color w:val="0000FF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)</w:t>
      </w:r>
    </w:p>
    <w:p w14:paraId="15EC9796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</w:t>
      </w:r>
      <w:r>
        <w:rPr>
          <w:rFonts w:ascii="Times New Roman" w:hAnsi="Times New Roman" w:eastAsia="宋体" w:cs="Times New Roman"/>
          <w:szCs w:val="24"/>
        </w:rPr>
        <w:t>常温下，向BaCO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的饱和溶液中加入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4"/>
        </w:rPr>
        <w:t>Na</w:t>
      </w:r>
      <w:r>
        <w:rPr>
          <w:rFonts w:ascii="Times New Roman" w:hAnsi="Times New Roman" w:eastAsia="宋体" w:cs="Times New Roman"/>
          <w:szCs w:val="24"/>
          <w:vertAlign w:val="subscript"/>
        </w:rPr>
        <w:t>2</w:t>
      </w:r>
      <w:r>
        <w:rPr>
          <w:rFonts w:ascii="Times New Roman" w:hAnsi="Times New Roman" w:eastAsia="宋体" w:cs="Times New Roman"/>
          <w:szCs w:val="24"/>
        </w:rPr>
        <w:t>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固体，BaCO</w:t>
      </w:r>
      <w:r>
        <w:rPr>
          <w:rFonts w:ascii="Times New Roman" w:hAnsi="Times New Roman" w:eastAsia="宋体" w:cs="Times New Roman"/>
          <w:szCs w:val="24"/>
          <w:vertAlign w:val="subscript"/>
        </w:rPr>
        <w:t>3</w:t>
      </w:r>
      <w:r>
        <w:rPr>
          <w:rFonts w:ascii="Times New Roman" w:hAnsi="Times New Roman" w:eastAsia="宋体" w:cs="Times New Roman"/>
          <w:szCs w:val="24"/>
        </w:rPr>
        <w:t>的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减小。(　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30800DEA">
      <w:pPr>
        <w:snapToGrid w:val="0"/>
        <w:spacing w:line="360" w:lineRule="auto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</w:t>
      </w:r>
      <w:r>
        <w:rPr>
          <w:rFonts w:ascii="Times New Roman" w:hAnsi="Times New Roman" w:eastAsia="宋体" w:cs="Times New Roman"/>
          <w:szCs w:val="24"/>
        </w:rPr>
        <w:t>溶度积常数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只受温度影响，温度升高，</w:t>
      </w:r>
      <w:r>
        <w:rPr>
          <w:rFonts w:ascii="Times New Roman" w:hAnsi="Times New Roman" w:eastAsia="宋体" w:cs="Times New Roman"/>
          <w:i/>
          <w:szCs w:val="24"/>
        </w:rPr>
        <w:t>K</w:t>
      </w:r>
      <w:r>
        <w:rPr>
          <w:rFonts w:ascii="Times New Roman" w:hAnsi="Times New Roman" w:eastAsia="宋体" w:cs="Times New Roman"/>
          <w:szCs w:val="24"/>
          <w:vertAlign w:val="subscript"/>
        </w:rPr>
        <w:t>sp</w:t>
      </w:r>
      <w:r>
        <w:rPr>
          <w:rFonts w:ascii="Times New Roman" w:hAnsi="Times New Roman" w:eastAsia="宋体" w:cs="Times New Roman"/>
          <w:szCs w:val="24"/>
        </w:rPr>
        <w:t>增大。(　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color w:val="91ABDF"/>
          <w:szCs w:val="24"/>
        </w:rPr>
        <w:t>×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Times New Roman" w:hAnsi="Times New Roman" w:eastAsia="宋体" w:cs="Times New Roman"/>
          <w:szCs w:val="24"/>
        </w:rPr>
        <w:t>　)</w:t>
      </w:r>
    </w:p>
    <w:p w14:paraId="3BA29B3B">
      <w:pPr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向AgCl沉淀中加入KI溶液,由白色沉淀转变成黄色沉淀,是由于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(AgI)&lt;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  <w:vertAlign w:val="subscript"/>
        </w:rPr>
        <w:t>sp</w:t>
      </w:r>
      <w:r>
        <w:rPr>
          <w:rFonts w:ascii="Times New Roman" w:hAnsi="Times New Roman" w:eastAsia="宋体" w:cs="Times New Roman"/>
          <w:szCs w:val="21"/>
        </w:rPr>
        <w:t>(AgCl)</w:t>
      </w:r>
      <w:r>
        <w:rPr>
          <w:rFonts w:hint="eastAsia" w:ascii="Times New Roman" w:hAnsi="Times New Roman" w:eastAsia="宋体" w:cs="Times New Roman"/>
          <w:szCs w:val="21"/>
        </w:rPr>
        <w:t>。</w:t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BDF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829FC60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86D5B">
    <w:pPr>
      <w:pStyle w:val="11"/>
      <w:rPr>
        <w:rFonts w:hint="eastAsia"/>
      </w:rPr>
    </w:pPr>
    <w:r>
      <w:rPr>
        <w:rFonts w:hint="eastAsia"/>
        <w14:ligatures w14:val="none"/>
      </w:rPr>
      <w:pict>
        <v:shape id="WordPictureWatermark335442502" o:spid="_x0000_s1027" o:spt="75" type="#_x0000_t75" style="position:absolute;left:0pt;margin-left:-0.2pt;margin-top:433.7pt;height:211.9pt;width:414.3pt;mso-position-horizontal-relative:margin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6C4AFB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8FA91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3D6B0">
    <w:pPr>
      <w:pStyle w:val="12"/>
      <w:pBdr>
        <w:bottom w:val="single" w:color="auto" w:sz="4" w:space="1"/>
      </w:pBdr>
      <w:jc w:val="right"/>
    </w:pPr>
    <w:r>
      <w:rPr>
        <w:rFonts w:hint="eastAsia"/>
      </w:rPr>
      <w:t>配套《高中必刷题 化学 选择性必修1 化学反应原理 LK》使用</w:t>
    </w:r>
  </w:p>
  <w:p w14:paraId="11EEB720">
    <w:pPr>
      <w:pStyle w:val="12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35CE31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442501" o:spid="_x0000_s1026" o:spt="75" type="#_x0000_t75" style="position:absolute;left:0pt;height:211.9pt;width:414.3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A47C46">
    <w:pPr>
      <w:pStyle w:val="12"/>
      <w:rPr>
        <w:rFonts w:hint="eastAsia"/>
      </w:rPr>
    </w:pPr>
    <w:r>
      <w:rPr>
        <w:rFonts w:hint="eastAsia"/>
        <w14:ligatures w14:val="none"/>
      </w:rPr>
      <w:pict>
        <v:shape id="WordPictureWatermark335442500" o:spid="_x0000_s1025" o:spt="75" type="#_x0000_t75" style="position:absolute;left:0pt;height:211.9pt;width:414.3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58777B"/>
    <w:rsid w:val="000E2FBD"/>
    <w:rsid w:val="00155F19"/>
    <w:rsid w:val="00377766"/>
    <w:rsid w:val="0058777B"/>
    <w:rsid w:val="007E24E9"/>
    <w:rsid w:val="00A65F3E"/>
    <w:rsid w:val="00A973C2"/>
    <w:rsid w:val="00AB7C77"/>
    <w:rsid w:val="00B775BD"/>
    <w:rsid w:val="00C4425C"/>
    <w:rsid w:val="00D47F91"/>
    <w:rsid w:val="4C43529F"/>
    <w:rsid w:val="6FCC59DF"/>
    <w:rsid w:val="7577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jpe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747</Words>
  <Characters>931</Characters>
  <Lines>40</Lines>
  <Paragraphs>60</Paragraphs>
  <TotalTime>0</TotalTime>
  <ScaleCrop>false</ScaleCrop>
  <LinksUpToDate>false</LinksUpToDate>
  <CharactersWithSpaces>962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2025-04-02T01:51:00Z</dcterms:created>
  <dc:creator>1224348813@qq.com</dc:creator>
  <cp:lastModifiedBy>刘岩</cp:lastModifiedBy>
  <dcterms:modified xsi:type="dcterms:W3CDTF">2026-03-20T02:27:05Z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3C069ECD11124AC68FDC36DC26577026_12</vt:lpwstr>
  </property>
</Properties>
</file>